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指引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新冠肺炎可疑症状</w:t>
      </w: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购药人员就诊记录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highlight w:val="none"/>
          <w:lang w:val="en-US" w:eastAsia="zh-CN"/>
        </w:rPr>
        <w:t>（第一联给顾客；第二联由零售药店留存）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药店名称：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>顾客（实际用药人）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姓名：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性别：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身份证号：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联系电话（手机）：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健康码：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>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红色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黄色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绿色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>（请在相应颜色方框内打√）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>可疑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症状：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>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发热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干咳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乏力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咽痛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嗅（味）觉减退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腹泻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1400" w:firstLineChars="50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>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鼻塞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流涕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结膜炎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 xml:space="preserve"> □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肌痛</w:t>
      </w: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>（请在相应症状方框内打√）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>指引就诊医疗机构名称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eastAsia="黑体" w:cs="Times New Roman"/>
          <w:sz w:val="28"/>
          <w:szCs w:val="28"/>
          <w:highlight w:val="none"/>
          <w:lang w:val="en-US" w:eastAsia="zh-CN"/>
        </w:rPr>
        <w:t>顾客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（或监护人）签名：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eastAsia="黑体" w:cs="Times New Roman"/>
          <w:sz w:val="28"/>
          <w:szCs w:val="28"/>
          <w:highlight w:val="none"/>
          <w:u w:val="none"/>
          <w:lang w:val="en-US" w:eastAsia="zh-CN"/>
        </w:rPr>
        <w:t>。药店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工作人员签名：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eastAsia="黑体" w:cs="Times New Roman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pBdr>
          <w:top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温馨</w:t>
      </w:r>
      <w:r>
        <w:rPr>
          <w:rFonts w:hint="eastAsia" w:eastAsia="仿宋_GB2312" w:cs="Times New Roman"/>
          <w:b/>
          <w:bCs/>
          <w:sz w:val="28"/>
          <w:szCs w:val="28"/>
          <w:highlight w:val="none"/>
          <w:lang w:val="en-US" w:eastAsia="zh-CN"/>
        </w:rPr>
        <w:t>提醒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按照《中华人民共和国传染病防治法》和新冠肺炎疫情防控的有关要求，请您及时到发热门诊（诊室）就诊，并据实告知医务人员个人旅居史等流行病学调查相关信息。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 xml:space="preserve">  月  日，本药店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所在县（市、区）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报告1例本土病例（含无症状感染者）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在全县（市、区）降为低风险区前，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购买《疫情期间需实名登记报告药品目录》药品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后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用药人（不含持48小时内核酸阴性证明购药者）购药48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小时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内应进行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核酸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检测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1428"/>
    <w:multiLevelType w:val="singleLevel"/>
    <w:tmpl w:val="61EE142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389E"/>
    <w:rsid w:val="0AAC4081"/>
    <w:rsid w:val="34E86035"/>
    <w:rsid w:val="3D35389E"/>
    <w:rsid w:val="672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  <w:rPr>
      <w:rFonts w:ascii="Times New Roman" w:hAnsi="Times New Roman" w:eastAsia="宋体" w:cs="Times New Roman"/>
      <w:color w:val="auto"/>
      <w:sz w:val="21"/>
      <w:szCs w:val="24"/>
      <w:lang w:bidi="ar-SA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color w:val="auto"/>
      <w:sz w:val="44"/>
      <w:szCs w:val="44"/>
      <w:lang w:bidi="ar-SA"/>
    </w:rPr>
  </w:style>
  <w:style w:type="paragraph" w:styleId="4">
    <w:name w:val="Body Text Indent"/>
    <w:basedOn w:val="1"/>
    <w:next w:val="1"/>
    <w:unhideWhenUsed/>
    <w:uiPriority w:val="99"/>
    <w:pPr>
      <w:spacing w:after="120"/>
      <w:ind w:left="420" w:leftChars="200"/>
    </w:pPr>
    <w:rPr>
      <w:rFonts w:ascii="Times New Roman" w:hAnsi="Times New Roman" w:eastAsia="宋体" w:cs="Times New Roman"/>
      <w:color w:val="auto"/>
      <w:sz w:val="21"/>
      <w:szCs w:val="24"/>
      <w:lang w:bidi="ar-SA"/>
    </w:rPr>
  </w:style>
  <w:style w:type="paragraph" w:styleId="5">
    <w:name w:val="Body Text Indent 2"/>
    <w:basedOn w:val="1"/>
    <w:unhideWhenUsed/>
    <w:qFormat/>
    <w:uiPriority w:val="99"/>
    <w:pPr>
      <w:topLinePunct/>
      <w:ind w:firstLine="560" w:firstLineChars="200"/>
    </w:pPr>
    <w:rPr>
      <w:rFonts w:ascii="宋体" w:hAnsi="宋体" w:eastAsia="宋体" w:cs="Times New Roman"/>
      <w:color w:val="auto"/>
      <w:sz w:val="28"/>
      <w:szCs w:val="24"/>
      <w:lang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unhideWhenUsed/>
    <w:uiPriority w:val="99"/>
    <w:pPr>
      <w:spacing w:line="360" w:lineRule="auto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2022-01-29T06:47:00Z</dcterms:created>
  <dc:creator>龚俊杰</dc:creator>
  <cp:lastModifiedBy>chenning</cp:lastModifiedBy>
  <cp:lastPrinted>2022-01-29T06:49:00Z</cp:lastPrinted>
  <dcterms:modified xsi:type="dcterms:W3CDTF">2022-01-29T07:13:39Z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