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60" w:lineRule="exact"/>
        <w:jc w:val="center"/>
        <w:rPr>
          <w:rFonts w:hint="eastAsia" w:ascii="黑体" w:hAnsi="黑体" w:eastAsia="黑体" w:cs="宋体"/>
          <w:bCs/>
          <w:color w:val="000000"/>
          <w:kern w:val="0"/>
          <w:sz w:val="44"/>
          <w:szCs w:val="44"/>
        </w:rPr>
      </w:pPr>
      <w:r>
        <w:rPr>
          <w:rFonts w:hint="eastAsia" w:ascii="黑体" w:hAnsi="黑体" w:eastAsia="黑体" w:cs="宋体"/>
          <w:bCs/>
          <w:color w:val="000000"/>
          <w:kern w:val="0"/>
          <w:sz w:val="44"/>
          <w:szCs w:val="44"/>
        </w:rPr>
        <w:t>广东省食品药品监督管理局</w:t>
      </w:r>
    </w:p>
    <w:p>
      <w:pPr>
        <w:shd w:val="clear" w:color="auto" w:fill="FFFFFF"/>
        <w:spacing w:line="610" w:lineRule="exact"/>
        <w:jc w:val="center"/>
        <w:rPr>
          <w:rFonts w:hint="eastAsia" w:ascii="黑体" w:hAnsi="黑体" w:eastAsia="黑体" w:cs="宋体"/>
          <w:bCs/>
          <w:color w:val="000000"/>
          <w:kern w:val="0"/>
          <w:sz w:val="44"/>
          <w:szCs w:val="44"/>
        </w:rPr>
      </w:pPr>
      <w:r>
        <w:rPr>
          <w:rFonts w:hint="eastAsia" w:ascii="黑体" w:hAnsi="黑体" w:eastAsia="黑体" w:cs="宋体"/>
          <w:bCs/>
          <w:color w:val="000000"/>
          <w:kern w:val="0"/>
          <w:sz w:val="44"/>
          <w:szCs w:val="44"/>
        </w:rPr>
        <w:t>“曝光台”信息公布制度（试行）</w:t>
      </w:r>
    </w:p>
    <w:p>
      <w:pPr>
        <w:shd w:val="clear" w:color="auto" w:fill="FFFFFF"/>
        <w:spacing w:line="460" w:lineRule="exact"/>
        <w:ind w:firstLine="420" w:firstLineChars="200"/>
        <w:rPr>
          <w:rFonts w:hint="eastAsia" w:ascii="黑体" w:eastAsia="黑体"/>
          <w:color w:val="000000"/>
        </w:rPr>
      </w:pPr>
    </w:p>
    <w:p>
      <w:pPr>
        <w:shd w:val="clear" w:color="auto" w:fill="FFFFFF"/>
        <w:spacing w:line="460" w:lineRule="exact"/>
        <w:ind w:firstLine="640" w:firstLineChars="200"/>
        <w:rPr>
          <w:rFonts w:hint="eastAsia" w:eastAsia="仿宋_GB2312"/>
          <w:color w:val="000000"/>
          <w:sz w:val="32"/>
          <w:szCs w:val="32"/>
        </w:rPr>
      </w:pPr>
      <w:r>
        <w:rPr>
          <w:rFonts w:hint="eastAsia" w:ascii="黑体" w:eastAsia="黑体"/>
          <w:color w:val="000000"/>
          <w:sz w:val="32"/>
          <w:szCs w:val="32"/>
        </w:rPr>
        <w:t>第一条</w:t>
      </w:r>
      <w:r>
        <w:rPr>
          <w:rFonts w:eastAsia="仿宋_GB2312"/>
          <w:color w:val="000000"/>
          <w:sz w:val="32"/>
          <w:szCs w:val="32"/>
        </w:rPr>
        <w:t xml:space="preserve">  </w:t>
      </w:r>
      <w:r>
        <w:rPr>
          <w:rFonts w:hint="eastAsia" w:eastAsia="仿宋_GB2312"/>
          <w:color w:val="000000"/>
          <w:sz w:val="32"/>
          <w:szCs w:val="32"/>
        </w:rPr>
        <w:t>为</w:t>
      </w:r>
      <w:r>
        <w:rPr>
          <w:rFonts w:hint="eastAsia" w:eastAsia="仿宋_GB2312"/>
          <w:sz w:val="32"/>
          <w:szCs w:val="32"/>
        </w:rPr>
        <w:t>加强食品药品安全信息公布的管理，</w:t>
      </w:r>
      <w:r>
        <w:rPr>
          <w:rFonts w:hint="eastAsia" w:eastAsia="仿宋_GB2312"/>
          <w:color w:val="000000"/>
          <w:sz w:val="32"/>
          <w:szCs w:val="32"/>
        </w:rPr>
        <w:t>对严重违法失信企业的管理，促进企业守法经营和诚信自律，扩大社会监督，及时发布食品（含食品添加剂，下同）、药品、医疗器械、保健食品、化妆品生产经营重大违法信息和产品重大质量安全信息的信息公布行为，促进食品药品安全政府信息公开，加快构建食品药品安全社会共治格局，根据《食品安全法》、《药品管理法》、《政府信息公开条例》、《医疗器械监督管理条例》等有关法律法规和省政府关于政府信息公开的有关规定，结合广东省食品药品安全监管工作实际，制定本制度。</w:t>
      </w:r>
    </w:p>
    <w:p>
      <w:pPr>
        <w:shd w:val="clear" w:color="auto" w:fill="FFFFFF"/>
        <w:spacing w:line="460" w:lineRule="exact"/>
        <w:ind w:firstLine="640" w:firstLineChars="200"/>
        <w:rPr>
          <w:rFonts w:eastAsia="仿宋_GB2312"/>
          <w:color w:val="000000"/>
          <w:sz w:val="32"/>
          <w:szCs w:val="32"/>
        </w:rPr>
      </w:pPr>
      <w:r>
        <w:rPr>
          <w:rFonts w:hint="eastAsia" w:ascii="黑体" w:eastAsia="黑体"/>
          <w:color w:val="000000"/>
          <w:sz w:val="32"/>
          <w:szCs w:val="32"/>
        </w:rPr>
        <w:t>第二条</w:t>
      </w:r>
      <w:r>
        <w:rPr>
          <w:rFonts w:eastAsia="仿宋_GB2312"/>
          <w:color w:val="000000"/>
          <w:sz w:val="32"/>
          <w:szCs w:val="32"/>
        </w:rPr>
        <w:t xml:space="preserve">  </w:t>
      </w:r>
      <w:r>
        <w:rPr>
          <w:rFonts w:hint="eastAsia" w:eastAsia="仿宋_GB2312"/>
          <w:color w:val="000000"/>
          <w:sz w:val="32"/>
          <w:szCs w:val="32"/>
        </w:rPr>
        <w:t>广东省食品药品监督管理局（以下简称省局）在本局政府公众网站（网址</w:t>
      </w:r>
      <w:r>
        <w:rPr>
          <w:rFonts w:eastAsia="仿宋_GB2312"/>
          <w:color w:val="000000"/>
          <w:sz w:val="32"/>
          <w:szCs w:val="32"/>
        </w:rPr>
        <w:t>http://www.gdfda.gov.cn/</w:t>
      </w:r>
      <w:r>
        <w:rPr>
          <w:rFonts w:hint="eastAsia" w:eastAsia="仿宋_GB2312"/>
          <w:color w:val="000000"/>
          <w:sz w:val="32"/>
          <w:szCs w:val="32"/>
        </w:rPr>
        <w:t>）显要位置设置“曝光台”栏目，并通过建立和实施“曝光台”专题新闻通气会制度、与新闻媒体合作共建“曝光台”专栏等方式，及时公布以下信息：</w:t>
      </w:r>
    </w:p>
    <w:p>
      <w:pPr>
        <w:widowControl/>
        <w:shd w:val="clear" w:color="auto" w:fill="FFFFFF"/>
        <w:spacing w:line="460" w:lineRule="exact"/>
        <w:ind w:firstLine="640" w:firstLineChars="200"/>
        <w:jc w:val="left"/>
        <w:rPr>
          <w:rFonts w:eastAsia="仿宋_GB2312"/>
          <w:color w:val="000000"/>
          <w:sz w:val="32"/>
          <w:szCs w:val="32"/>
        </w:rPr>
      </w:pPr>
      <w:r>
        <w:rPr>
          <w:rFonts w:hint="eastAsia" w:eastAsia="仿宋_GB2312"/>
          <w:color w:val="000000"/>
          <w:sz w:val="32"/>
          <w:szCs w:val="32"/>
        </w:rPr>
        <w:t>（一）根据《广东省食品药品监督管理局食品药品违法违规企业“黑名单”的管理规定》被列入“黑名单”公布范围，且属于受到吊销许可证类的证明文件的行政处罚且情况特别严重的，或者被国家食品药品监管总局和相关部门联合曝光，或者未经食品药品监管部门行政许可而擅自生产食品药品且情况特别严重的；</w:t>
      </w:r>
    </w:p>
    <w:p>
      <w:pPr>
        <w:shd w:val="clear" w:color="auto" w:fill="FFFFFF"/>
        <w:spacing w:line="460" w:lineRule="exact"/>
        <w:ind w:firstLine="640" w:firstLineChars="200"/>
        <w:rPr>
          <w:rFonts w:eastAsia="仿宋_GB2312"/>
          <w:color w:val="000000"/>
          <w:sz w:val="32"/>
          <w:szCs w:val="32"/>
        </w:rPr>
      </w:pPr>
      <w:r>
        <w:rPr>
          <w:rFonts w:hint="eastAsia" w:eastAsia="仿宋_GB2312"/>
          <w:color w:val="000000"/>
          <w:sz w:val="32"/>
          <w:szCs w:val="32"/>
        </w:rPr>
        <w:t>（二）省局直接办理或督办的情节特别严重、影响特别重大的监督检查和行政处罚案件信息；</w:t>
      </w:r>
    </w:p>
    <w:p>
      <w:pPr>
        <w:shd w:val="clear" w:color="auto" w:fill="FFFFFF"/>
        <w:spacing w:line="460" w:lineRule="exact"/>
        <w:ind w:firstLine="640" w:firstLineChars="200"/>
        <w:rPr>
          <w:rFonts w:eastAsia="仿宋_GB2312"/>
          <w:color w:val="000000"/>
          <w:sz w:val="32"/>
          <w:szCs w:val="32"/>
        </w:rPr>
      </w:pPr>
      <w:r>
        <w:rPr>
          <w:rFonts w:hint="eastAsia" w:eastAsia="仿宋_GB2312"/>
          <w:color w:val="000000"/>
          <w:sz w:val="32"/>
          <w:szCs w:val="32"/>
        </w:rPr>
        <w:t>（三）因违法生产和经营行为被查处之日起两年内受到食药监管部门三次以上行政处罚；因违法生产和经营行为两年内受到消费者三次以上投诉举报核查属实的；</w:t>
      </w:r>
    </w:p>
    <w:p>
      <w:pPr>
        <w:shd w:val="clear" w:color="auto" w:fill="FFFFFF"/>
        <w:spacing w:line="460" w:lineRule="exact"/>
        <w:ind w:firstLine="640" w:firstLineChars="200"/>
        <w:rPr>
          <w:rFonts w:eastAsia="仿宋_GB2312"/>
          <w:color w:val="000000"/>
          <w:sz w:val="32"/>
          <w:szCs w:val="32"/>
        </w:rPr>
      </w:pPr>
      <w:r>
        <w:rPr>
          <w:rFonts w:hint="eastAsia" w:eastAsia="仿宋_GB2312"/>
          <w:color w:val="000000"/>
          <w:sz w:val="32"/>
          <w:szCs w:val="32"/>
        </w:rPr>
        <w:t>（四）因发布食品、药品、医疗器械、保健食品、化妆品虚假广告被查处之日起两年内受到三次以上行政处罚的，或者发布关系消费者生命健康商品的虚假广告，造成严重社会不良影响的；</w:t>
      </w:r>
    </w:p>
    <w:p>
      <w:pPr>
        <w:shd w:val="clear" w:color="auto" w:fill="FFFFFF"/>
        <w:spacing w:line="460" w:lineRule="exact"/>
        <w:ind w:firstLine="640" w:firstLineChars="200"/>
        <w:rPr>
          <w:rFonts w:hint="eastAsia" w:eastAsia="仿宋_GB2312"/>
          <w:color w:val="000000"/>
          <w:sz w:val="32"/>
          <w:szCs w:val="32"/>
        </w:rPr>
      </w:pPr>
      <w:r>
        <w:rPr>
          <w:rFonts w:hint="eastAsia" w:eastAsia="仿宋_GB2312"/>
          <w:color w:val="000000"/>
          <w:sz w:val="32"/>
          <w:szCs w:val="32"/>
        </w:rPr>
        <w:t>（五）省局组织各类监测、抽检、日常监管、飞行检查、专项整治中发现重大线索，并经核实存在严重安全隐患，需要及时发布的安全警示信息；其他需要及时发布的企业重大违法信息和产品重大质量安全信息。</w:t>
      </w:r>
    </w:p>
    <w:p>
      <w:pPr>
        <w:shd w:val="clear" w:color="auto" w:fill="FFFFFF"/>
        <w:spacing w:line="460" w:lineRule="exact"/>
        <w:ind w:firstLine="640" w:firstLineChars="200"/>
        <w:rPr>
          <w:rFonts w:eastAsia="仿宋_GB2312"/>
          <w:color w:val="000000"/>
          <w:sz w:val="32"/>
          <w:szCs w:val="32"/>
        </w:rPr>
      </w:pPr>
      <w:r>
        <w:rPr>
          <w:rFonts w:hint="eastAsia" w:ascii="黑体" w:eastAsia="黑体"/>
          <w:color w:val="000000"/>
          <w:sz w:val="32"/>
          <w:szCs w:val="32"/>
        </w:rPr>
        <w:t>第三条</w:t>
      </w:r>
      <w:r>
        <w:rPr>
          <w:rFonts w:eastAsia="仿宋_GB2312"/>
          <w:color w:val="000000"/>
          <w:sz w:val="32"/>
          <w:szCs w:val="32"/>
        </w:rPr>
        <w:t xml:space="preserve">  </w:t>
      </w:r>
      <w:r>
        <w:rPr>
          <w:rFonts w:hint="eastAsia" w:eastAsia="仿宋_GB2312"/>
          <w:color w:val="000000"/>
          <w:sz w:val="32"/>
          <w:szCs w:val="32"/>
        </w:rPr>
        <w:t>“曝光台”信息的征集、披露、使用和管理应当遵循合法、公开、全面、客观、准确、及时的原则，依法保护国家秘密、商业秘密和个人隐私。</w:t>
      </w:r>
    </w:p>
    <w:p>
      <w:pPr>
        <w:spacing w:line="460" w:lineRule="exact"/>
        <w:ind w:firstLine="640" w:firstLineChars="200"/>
        <w:rPr>
          <w:rFonts w:eastAsia="仿宋_GB2312"/>
          <w:color w:val="000000"/>
          <w:sz w:val="32"/>
          <w:szCs w:val="32"/>
        </w:rPr>
      </w:pPr>
      <w:r>
        <w:rPr>
          <w:rFonts w:hint="eastAsia" w:ascii="黑体" w:eastAsia="黑体"/>
          <w:color w:val="000000"/>
          <w:sz w:val="32"/>
          <w:szCs w:val="32"/>
        </w:rPr>
        <w:t>第四条</w:t>
      </w:r>
      <w:r>
        <w:rPr>
          <w:rFonts w:eastAsia="仿宋_GB2312"/>
          <w:color w:val="000000"/>
          <w:sz w:val="32"/>
          <w:szCs w:val="32"/>
        </w:rPr>
        <w:t xml:space="preserve">  </w:t>
      </w:r>
      <w:r>
        <w:rPr>
          <w:rFonts w:hint="eastAsia" w:eastAsia="仿宋_GB2312"/>
          <w:color w:val="000000"/>
          <w:sz w:val="32"/>
          <w:szCs w:val="32"/>
        </w:rPr>
        <w:t>省局办公室负责组织协调“曝光台”信息公布</w:t>
      </w:r>
      <w:r>
        <w:rPr>
          <w:rFonts w:hint="eastAsia" w:eastAsia="仿宋_GB2312"/>
          <w:sz w:val="32"/>
          <w:szCs w:val="32"/>
        </w:rPr>
        <w:t>的采集、审核和新闻发布有关工作</w:t>
      </w:r>
      <w:r>
        <w:rPr>
          <w:rFonts w:hint="eastAsia" w:eastAsia="仿宋_GB2312"/>
          <w:color w:val="000000"/>
          <w:sz w:val="32"/>
          <w:szCs w:val="32"/>
        </w:rPr>
        <w:t>。</w:t>
      </w:r>
    </w:p>
    <w:p>
      <w:pPr>
        <w:spacing w:line="460" w:lineRule="exact"/>
        <w:ind w:firstLine="640" w:firstLineChars="200"/>
        <w:rPr>
          <w:rFonts w:eastAsia="仿宋_GB2312"/>
          <w:color w:val="000000"/>
          <w:sz w:val="32"/>
          <w:szCs w:val="32"/>
        </w:rPr>
      </w:pPr>
      <w:r>
        <w:rPr>
          <w:rFonts w:hint="eastAsia" w:eastAsia="仿宋_GB2312"/>
          <w:color w:val="000000"/>
          <w:sz w:val="32"/>
          <w:szCs w:val="32"/>
        </w:rPr>
        <w:t>省局机关其他处室按照各自职责和</w:t>
      </w:r>
      <w:r>
        <w:rPr>
          <w:rFonts w:hint="eastAsia" w:eastAsia="仿宋_GB2312"/>
          <w:sz w:val="32"/>
          <w:szCs w:val="32"/>
        </w:rPr>
        <w:t>相应工作权限，实施</w:t>
      </w:r>
      <w:r>
        <w:rPr>
          <w:rFonts w:hint="eastAsia" w:eastAsia="仿宋_GB2312"/>
          <w:color w:val="000000"/>
          <w:sz w:val="32"/>
          <w:szCs w:val="32"/>
        </w:rPr>
        <w:t>“曝光台”信息</w:t>
      </w:r>
      <w:r>
        <w:rPr>
          <w:rFonts w:hint="eastAsia" w:eastAsia="仿宋_GB2312"/>
          <w:sz w:val="32"/>
          <w:szCs w:val="32"/>
        </w:rPr>
        <w:t>的采集、审核、上报、公布、管理有关工作</w:t>
      </w:r>
      <w:r>
        <w:rPr>
          <w:rFonts w:hint="eastAsia" w:eastAsia="仿宋_GB2312"/>
          <w:color w:val="000000"/>
          <w:sz w:val="32"/>
          <w:szCs w:val="32"/>
        </w:rPr>
        <w:t>；对拟公布的“曝光台”信息进行保密审查并确定可以公布；结合新闻媒体的采访或查询要求，向省局办公室提供有关材料和答复口径。</w:t>
      </w:r>
    </w:p>
    <w:p>
      <w:pPr>
        <w:spacing w:line="460" w:lineRule="exact"/>
        <w:ind w:firstLine="640" w:firstLineChars="200"/>
        <w:rPr>
          <w:rFonts w:eastAsia="仿宋_GB2312"/>
          <w:sz w:val="32"/>
          <w:szCs w:val="32"/>
        </w:rPr>
      </w:pPr>
      <w:r>
        <w:rPr>
          <w:rFonts w:hint="eastAsia" w:ascii="黑体" w:eastAsia="黑体"/>
          <w:color w:val="000000"/>
          <w:sz w:val="32"/>
          <w:szCs w:val="32"/>
        </w:rPr>
        <w:t>第五条</w:t>
      </w:r>
      <w:r>
        <w:rPr>
          <w:rFonts w:eastAsia="仿宋_GB2312"/>
          <w:color w:val="000000"/>
          <w:sz w:val="32"/>
          <w:szCs w:val="32"/>
        </w:rPr>
        <w:t xml:space="preserve">  </w:t>
      </w:r>
      <w:r>
        <w:rPr>
          <w:rFonts w:hint="eastAsia" w:eastAsia="仿宋_GB2312"/>
          <w:color w:val="000000"/>
          <w:sz w:val="32"/>
          <w:szCs w:val="32"/>
        </w:rPr>
        <w:t>发布“曝光台”信息，按《广东省食品药品监督管理局食品药品安全信息发布管理办法》规定的程序办理。具体承办处室主要负责人应在审核信息公布内容时</w:t>
      </w:r>
      <w:r>
        <w:rPr>
          <w:rFonts w:hint="eastAsia" w:eastAsia="仿宋_GB2312"/>
          <w:sz w:val="32"/>
          <w:szCs w:val="32"/>
        </w:rPr>
        <w:t>，明确提出要求在“曝光台”栏目公布的意见。</w:t>
      </w:r>
    </w:p>
    <w:p>
      <w:pPr>
        <w:spacing w:line="46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 xml:space="preserve">第六条 </w:t>
      </w:r>
      <w:r>
        <w:rPr>
          <w:rFonts w:hint="eastAsia" w:ascii="仿宋_GB2312" w:eastAsia="仿宋_GB2312"/>
          <w:color w:val="000000"/>
          <w:sz w:val="32"/>
          <w:szCs w:val="32"/>
        </w:rPr>
        <w:t xml:space="preserve"> 相关监管业务处室自依法认定严重失信企业之日起5个工作日内上报“曝光台”公布相关信息。严重失信企业信息公布期限为1年。公布期限届满后，</w:t>
      </w:r>
      <w:r>
        <w:rPr>
          <w:rFonts w:hint="eastAsia" w:eastAsia="仿宋_GB2312"/>
          <w:color w:val="000000"/>
          <w:sz w:val="32"/>
          <w:szCs w:val="32"/>
        </w:rPr>
        <w:t>省局办公室会同省局政务服务中心将有关信息转入“曝光台”数据库。</w:t>
      </w:r>
      <w:r>
        <w:rPr>
          <w:rFonts w:hint="eastAsia" w:ascii="仿宋_GB2312" w:eastAsia="仿宋_GB2312"/>
          <w:color w:val="000000"/>
          <w:sz w:val="32"/>
          <w:szCs w:val="32"/>
        </w:rPr>
        <w:t>在公布期间，企业认真整改到位，经企业申请，履行公布职责的监管部门核实后，可以从公布网站提前移除严重失信企业信息，但公布时间不得少于6个月。</w:t>
      </w:r>
    </w:p>
    <w:p>
      <w:pPr>
        <w:spacing w:line="460" w:lineRule="exact"/>
        <w:ind w:firstLine="640" w:firstLineChars="200"/>
        <w:rPr>
          <w:rFonts w:hint="eastAsia" w:eastAsia="仿宋_GB2312"/>
          <w:color w:val="000000"/>
          <w:sz w:val="32"/>
          <w:szCs w:val="32"/>
        </w:rPr>
      </w:pPr>
      <w:r>
        <w:rPr>
          <w:rFonts w:hint="eastAsia" w:ascii="黑体" w:eastAsia="黑体"/>
          <w:color w:val="000000"/>
          <w:sz w:val="32"/>
          <w:szCs w:val="32"/>
        </w:rPr>
        <w:t>第七条</w:t>
      </w:r>
      <w:r>
        <w:rPr>
          <w:rFonts w:eastAsia="仿宋_GB2312"/>
          <w:sz w:val="32"/>
          <w:szCs w:val="32"/>
        </w:rPr>
        <w:t xml:space="preserve">  </w:t>
      </w:r>
      <w:r>
        <w:rPr>
          <w:rFonts w:hint="eastAsia" w:eastAsia="仿宋_GB2312"/>
          <w:sz w:val="32"/>
          <w:szCs w:val="32"/>
        </w:rPr>
        <w:t>对于应当在“曝光台”公布的信息，具体</w:t>
      </w:r>
      <w:r>
        <w:rPr>
          <w:rFonts w:hint="eastAsia" w:eastAsia="仿宋_GB2312"/>
          <w:color w:val="000000"/>
          <w:sz w:val="32"/>
          <w:szCs w:val="32"/>
        </w:rPr>
        <w:t>承办处室认为其全部或部分存在不宜公布内容的，由具体承办处室在信息形成之日起</w:t>
      </w:r>
      <w:r>
        <w:rPr>
          <w:rFonts w:eastAsia="仿宋_GB2312"/>
          <w:color w:val="000000"/>
          <w:sz w:val="32"/>
          <w:szCs w:val="32"/>
        </w:rPr>
        <w:t>5</w:t>
      </w:r>
      <w:r>
        <w:rPr>
          <w:rFonts w:hint="eastAsia" w:eastAsia="仿宋_GB2312"/>
          <w:color w:val="000000"/>
          <w:sz w:val="32"/>
          <w:szCs w:val="32"/>
        </w:rPr>
        <w:t>个工作日内，将拟不予公布的具体情况、理由和后续处理意见等以书面形式报送省局办公室。经省局办公室审核并报局领导审批，认为理由成立的，作不予“曝光台”公布处理；认为理由不成立的，按本制度实施公布。</w:t>
      </w:r>
    </w:p>
    <w:p>
      <w:pPr>
        <w:adjustRightInd w:val="0"/>
        <w:snapToGrid w:val="0"/>
        <w:spacing w:line="460" w:lineRule="exact"/>
        <w:ind w:firstLine="640" w:firstLineChars="200"/>
        <w:rPr>
          <w:rFonts w:eastAsia="仿宋_GB2312"/>
          <w:color w:val="000000"/>
          <w:sz w:val="32"/>
          <w:szCs w:val="32"/>
        </w:rPr>
      </w:pPr>
      <w:r>
        <w:rPr>
          <w:rFonts w:hint="eastAsia" w:ascii="黑体" w:eastAsia="黑体"/>
          <w:color w:val="000000"/>
          <w:sz w:val="32"/>
          <w:szCs w:val="32"/>
        </w:rPr>
        <w:t>第八条</w:t>
      </w:r>
      <w:r>
        <w:rPr>
          <w:rFonts w:eastAsia="仿宋_GB2312"/>
          <w:color w:val="000000"/>
          <w:sz w:val="32"/>
          <w:szCs w:val="32"/>
        </w:rPr>
        <w:t xml:space="preserve">  </w:t>
      </w:r>
      <w:r>
        <w:rPr>
          <w:rFonts w:hint="eastAsia" w:eastAsia="仿宋_GB2312"/>
          <w:color w:val="000000"/>
          <w:sz w:val="32"/>
          <w:szCs w:val="32"/>
        </w:rPr>
        <w:t>鼓励公民、法人或者其他组织举报食品药品严重失信企业和其他食品药品违法行为，对举报者依照相关规定给予奖励并依法予以保护。</w:t>
      </w:r>
    </w:p>
    <w:p>
      <w:pPr>
        <w:adjustRightInd w:val="0"/>
        <w:snapToGrid w:val="0"/>
        <w:spacing w:line="460" w:lineRule="exact"/>
        <w:ind w:firstLine="640" w:firstLineChars="200"/>
        <w:rPr>
          <w:rFonts w:eastAsia="仿宋_GB2312"/>
          <w:color w:val="000000"/>
          <w:sz w:val="32"/>
          <w:szCs w:val="32"/>
        </w:rPr>
      </w:pPr>
      <w:r>
        <w:rPr>
          <w:rFonts w:hint="eastAsia" w:ascii="黑体" w:eastAsia="黑体"/>
          <w:color w:val="000000"/>
          <w:sz w:val="32"/>
          <w:szCs w:val="32"/>
        </w:rPr>
        <w:t xml:space="preserve">第九条  </w:t>
      </w:r>
      <w:r>
        <w:rPr>
          <w:rFonts w:hint="eastAsia" w:eastAsia="仿宋_GB2312"/>
          <w:color w:val="000000"/>
          <w:sz w:val="32"/>
          <w:szCs w:val="32"/>
        </w:rPr>
        <w:t>各地级以上市食品药品监督管理部门“曝光台”信息公布工作，参照本制度执行。</w:t>
      </w:r>
    </w:p>
    <w:p>
      <w:pPr>
        <w:adjustRightInd w:val="0"/>
        <w:snapToGrid w:val="0"/>
        <w:spacing w:line="460" w:lineRule="exact"/>
        <w:ind w:firstLine="640" w:firstLineChars="200"/>
        <w:rPr>
          <w:rFonts w:eastAsia="仿宋_GB2312"/>
          <w:color w:val="000000"/>
          <w:sz w:val="32"/>
          <w:szCs w:val="32"/>
        </w:rPr>
      </w:pPr>
      <w:r>
        <w:rPr>
          <w:rFonts w:hint="eastAsia" w:ascii="黑体" w:eastAsia="黑体"/>
          <w:color w:val="000000"/>
          <w:sz w:val="32"/>
          <w:szCs w:val="32"/>
        </w:rPr>
        <w:t>第十条</w:t>
      </w:r>
      <w:r>
        <w:rPr>
          <w:rFonts w:eastAsia="仿宋_GB2312"/>
          <w:color w:val="000000"/>
          <w:sz w:val="32"/>
          <w:szCs w:val="32"/>
        </w:rPr>
        <w:t xml:space="preserve">  </w:t>
      </w:r>
      <w:r>
        <w:rPr>
          <w:rFonts w:hint="eastAsia" w:eastAsia="仿宋_GB2312"/>
          <w:color w:val="000000"/>
          <w:sz w:val="32"/>
          <w:szCs w:val="32"/>
        </w:rPr>
        <w:t>本制度自发布之日起施行，由省局办公室负责解释。</w:t>
      </w:r>
    </w:p>
    <w:p>
      <w:pPr>
        <w:adjustRightInd w:val="0"/>
        <w:snapToGrid w:val="0"/>
        <w:spacing w:line="460" w:lineRule="exact"/>
        <w:rPr>
          <w:rFonts w:eastAsia="仿宋_GB2312"/>
          <w:color w:val="000000"/>
          <w:sz w:val="32"/>
          <w:szCs w:val="32"/>
        </w:rPr>
      </w:pPr>
    </w:p>
    <w:p>
      <w:pPr>
        <w:adjustRightInd w:val="0"/>
        <w:snapToGrid w:val="0"/>
        <w:spacing w:line="460" w:lineRule="exact"/>
        <w:rPr>
          <w:rFonts w:eastAsia="仿宋_GB2312"/>
          <w:color w:val="000000"/>
          <w:sz w:val="32"/>
          <w:szCs w:val="32"/>
        </w:rPr>
      </w:pPr>
    </w:p>
    <w:p>
      <w:pPr>
        <w:spacing w:line="560" w:lineRule="exact"/>
        <w:ind w:right="888"/>
        <w:jc w:val="right"/>
        <w:rPr>
          <w:rFonts w:eastAsia="仿宋_GB2312"/>
          <w:bCs/>
          <w:spacing w:val="-10"/>
          <w:sz w:val="32"/>
          <w:szCs w:val="32"/>
        </w:rPr>
      </w:pPr>
      <w:r>
        <w:rPr>
          <w:rFonts w:hint="eastAsia" w:eastAsia="仿宋_GB2312"/>
          <w:bCs/>
          <w:spacing w:val="-10"/>
          <w:sz w:val="32"/>
          <w:szCs w:val="32"/>
        </w:rPr>
        <w:t>广东省食品药品监督管理局</w:t>
      </w:r>
    </w:p>
    <w:p>
      <w:pPr>
        <w:spacing w:line="560" w:lineRule="exact"/>
        <w:ind w:firstLine="4905" w:firstLineChars="1635"/>
        <w:rPr>
          <w:rFonts w:eastAsia="仿宋_GB2312"/>
          <w:bCs/>
          <w:spacing w:val="-10"/>
          <w:sz w:val="32"/>
          <w:szCs w:val="32"/>
        </w:rPr>
      </w:pPr>
      <w:r>
        <w:rPr>
          <w:rFonts w:eastAsia="仿宋_GB2312"/>
          <w:bCs/>
          <w:spacing w:val="-10"/>
          <w:sz w:val="32"/>
          <w:szCs w:val="32"/>
        </w:rPr>
        <w:t>201</w:t>
      </w:r>
      <w:r>
        <w:rPr>
          <w:rFonts w:hint="eastAsia" w:eastAsia="仿宋_GB2312"/>
          <w:bCs/>
          <w:spacing w:val="-10"/>
          <w:sz w:val="32"/>
          <w:szCs w:val="32"/>
        </w:rPr>
        <w:t>7年</w:t>
      </w:r>
      <w:r>
        <w:rPr>
          <w:rFonts w:eastAsia="仿宋_GB2312"/>
          <w:bCs/>
          <w:spacing w:val="-10"/>
          <w:sz w:val="32"/>
          <w:szCs w:val="32"/>
        </w:rPr>
        <w:t>1</w:t>
      </w:r>
      <w:r>
        <w:rPr>
          <w:rFonts w:hint="eastAsia" w:eastAsia="仿宋_GB2312"/>
          <w:bCs/>
          <w:spacing w:val="-10"/>
          <w:sz w:val="32"/>
          <w:szCs w:val="32"/>
        </w:rPr>
        <w:t>月4日</w:t>
      </w:r>
    </w:p>
    <w:p>
      <w:pPr>
        <w:adjustRightInd w:val="0"/>
        <w:snapToGrid w:val="0"/>
        <w:spacing w:line="460" w:lineRule="exact"/>
        <w:rPr>
          <w:rFonts w:eastAsia="仿宋_GB2312"/>
          <w:color w:val="000000"/>
          <w:sz w:val="32"/>
          <w:szCs w:val="32"/>
        </w:rPr>
      </w:pPr>
    </w:p>
    <w:p>
      <w:pPr>
        <w:spacing w:line="560" w:lineRule="exact"/>
        <w:rPr>
          <w:rFonts w:eastAsia="仿宋_GB2312"/>
          <w:sz w:val="32"/>
          <w:szCs w:val="32"/>
        </w:rPr>
      </w:pP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roman"/>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4110AF"/>
    <w:rsid w:val="0F4110AF"/>
    <w:rsid w:val="2669440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2017-01-04T06:09:00Z</dcterms:created>
  <dc:creator>Saberchou</dc:creator>
  <cp:lastModifiedBy>Saberchou</cp:lastModifiedBy>
  <dcterms:modified xsi:type="dcterms:W3CDTF">2017-01-04T06:10:22Z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